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F7" w:rsidRPr="00B97083" w:rsidRDefault="005006F7" w:rsidP="005006F7">
      <w:pPr>
        <w:tabs>
          <w:tab w:val="left" w:pos="709"/>
          <w:tab w:val="left" w:pos="1560"/>
        </w:tabs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97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Resolução-COFFITO Nº 424/2012</w:t>
      </w:r>
      <w:bookmarkStart w:id="0" w:name="_GoBack"/>
      <w:bookmarkEnd w:id="0"/>
    </w:p>
    <w:p w:rsidR="007848AC" w:rsidRPr="00B97083" w:rsidRDefault="007848AC" w:rsidP="0038007B">
      <w:pPr>
        <w:pStyle w:val="PargrafodaLista"/>
        <w:numPr>
          <w:ilvl w:val="0"/>
          <w:numId w:val="1"/>
        </w:numPr>
        <w:tabs>
          <w:tab w:val="left" w:pos="709"/>
          <w:tab w:val="left" w:pos="1560"/>
        </w:tabs>
        <w:spacing w:before="100" w:beforeAutospacing="1" w:after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97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Fotos antes e depois e fotos pacientes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 III – DO RELACIONAMENTO COM O CLIENTE/ PACIENTE/USUÁRIO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Artigo 15 -</w:t>
      </w:r>
      <w:r w:rsidRPr="00B970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proibido ao fisioterapeuta: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(...)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 -</w:t>
      </w:r>
      <w:r w:rsidRPr="00B970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inserir em anúncio ou divulgação profissional, bem como expor em seu local de atendimento/trabalho, nome, iniciais de nomes, endereço, fotografia, inclusive aquelas que comparam quadros anteriores e posteriores ao tratamento realizado, ou qualquer outra referência que possibilite a identificação de cliente/paciente/usuário, salvo para divulgação em comunicações e eventos de cunho acadêmico científico, </w:t>
      </w:r>
      <w:r w:rsidRPr="00B9708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com a autorização formal prévia do cliente/paciente/usuário ou do responsável legal.</w:t>
      </w:r>
      <w:r w:rsidRPr="00B970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7848AC" w:rsidRPr="00B97083" w:rsidRDefault="007848AC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 VI – DO SIGILO PROFISSIONAL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Artigo 32 -</w:t>
      </w:r>
      <w:r w:rsidRPr="00B970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proibido ao fisioterapeuta: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(...)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III –</w:t>
      </w:r>
      <w:r w:rsidRPr="00B970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fazer referência a casos clínicos identificáveis, exibir cliente/paciente/usuário ou sua imagem </w:t>
      </w:r>
      <w:r w:rsidRPr="00B97083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>em anúncios profissionais ou na divulgação de assuntos fisioterapêuticos em qualquer meio de comunicação</w:t>
      </w:r>
      <w:r w:rsidRPr="00B970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9708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salvo quando autorizado pelo cliente/paciente/usuário ou seu responsável legal.</w:t>
      </w:r>
      <w:r w:rsidRPr="00B970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4E43" w:rsidRPr="00B97083" w:rsidRDefault="003C4E43" w:rsidP="003C4E43">
      <w:pPr>
        <w:tabs>
          <w:tab w:val="left" w:pos="709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ARTIGOS 15 E 32: PODE EXIBIR FOTO DE PACIENTE COM AUTORIZAÇÃO?</w:t>
      </w:r>
    </w:p>
    <w:p w:rsidR="003C4E43" w:rsidRDefault="003C4E4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48AC" w:rsidRPr="00B97083" w:rsidRDefault="007848AC" w:rsidP="0038007B">
      <w:pPr>
        <w:pStyle w:val="PargrafodaLista"/>
        <w:numPr>
          <w:ilvl w:val="0"/>
          <w:numId w:val="1"/>
        </w:numPr>
        <w:tabs>
          <w:tab w:val="left" w:pos="709"/>
          <w:tab w:val="left" w:pos="1560"/>
        </w:tabs>
        <w:spacing w:before="100" w:beforeAutospacing="1" w:after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97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Preços</w:t>
      </w:r>
      <w:r w:rsidR="003C4E43" w:rsidRPr="00B97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/valores</w:t>
      </w:r>
      <w:r w:rsidRPr="00B97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: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 II - DAS RESPONSABILIDADES FUNDAMENTAIS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Artigo 9º - Constituem-se deveres fundamentais do fisioterapeuta, segundo sua área e atribuição específica: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(...)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 - oferecer ou divulgar seus serviços profissionais de forma compatível com a dignidade da profissão e a leal concorrência;</w:t>
      </w:r>
    </w:p>
    <w:p w:rsidR="007848AC" w:rsidRPr="00B97083" w:rsidRDefault="007848A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VII – </w:t>
      </w:r>
      <w:r w:rsidR="000000B5" w:rsidRPr="00B97083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cumprir</w:t>
      </w:r>
      <w:r w:rsidR="000000B5"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Parâmetros Assistenciais e o Referencial Nacional de Procedimentos Fisioterapêuticos normatizados pelo COFFITO.</w:t>
      </w:r>
    </w:p>
    <w:p w:rsidR="000000B5" w:rsidRPr="00B97083" w:rsidRDefault="000000B5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156EC" w:rsidRPr="00B97083" w:rsidRDefault="009156E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 VIII – DOS HONORÁRIOS</w:t>
      </w:r>
    </w:p>
    <w:p w:rsidR="009156EC" w:rsidRPr="00B97083" w:rsidRDefault="009156E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Artigo 37 - O fisioterapeuta, na fixação de seus honorários, </w:t>
      </w:r>
      <w:r w:rsidRPr="00B97083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deve considerar como parâmetro básico</w:t>
      </w: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Referencial Nacional de Procedimentos Fisioterapêuticos.</w:t>
      </w:r>
    </w:p>
    <w:p w:rsidR="009156EC" w:rsidRPr="00B97083" w:rsidRDefault="009156EC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Artigo 39 - É proibido ao fisioterapeuta prestar assistência profissional gratuita ou a preço ínfimo, ressalvado o disposto no artigo 38, entendendo-se por preço ínfimo, valor inferior ao Referencial Nacional de Procedimentos Fisioterapêuticos</w:t>
      </w:r>
    </w:p>
    <w:p w:rsidR="003C4E43" w:rsidRPr="00B97083" w:rsidRDefault="003C4E43" w:rsidP="003C4E43">
      <w:pPr>
        <w:tabs>
          <w:tab w:val="left" w:pos="709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C4E43" w:rsidRPr="00B97083" w:rsidRDefault="003C4E43" w:rsidP="003C4E43">
      <w:pPr>
        <w:tabs>
          <w:tab w:val="left" w:pos="709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“DEVE CONSIDERAR”. SINÔNIMOS DE “CONSIDERAR”: ANALISAR, APRECIAR, AENDER, AVALIAR, CLASSIFICAR, CONCEBER, COTEMPLAR, JULGAR, MEDITAR. É OBRIGATÓRIO SEGUIR O REFERENCIAL?</w:t>
      </w:r>
      <w:r w:rsidRPr="00B970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7848AC" w:rsidRDefault="007848A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000B5" w:rsidRPr="00B97083" w:rsidRDefault="000000B5" w:rsidP="0038007B">
      <w:pPr>
        <w:pStyle w:val="PargrafodaLista"/>
        <w:numPr>
          <w:ilvl w:val="0"/>
          <w:numId w:val="1"/>
        </w:numPr>
        <w:tabs>
          <w:tab w:val="left" w:pos="709"/>
          <w:tab w:val="left" w:pos="156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97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Métodos reconhecidos e equipamentos reconhecidos:</w:t>
      </w:r>
    </w:p>
    <w:p w:rsidR="003C4E43" w:rsidRPr="00B97083" w:rsidRDefault="003C4E43" w:rsidP="003C4E43">
      <w:pPr>
        <w:tabs>
          <w:tab w:val="left" w:pos="709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Artigo 10 </w:t>
      </w:r>
      <w:r w:rsid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É proibido ao fisioterapeuta:</w:t>
      </w:r>
    </w:p>
    <w:p w:rsidR="003C4E43" w:rsidRPr="00B97083" w:rsidRDefault="003C4E43" w:rsidP="003C4E43">
      <w:pPr>
        <w:tabs>
          <w:tab w:val="left" w:pos="709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III – praticar qualquer ato que não esteja regulamentado pelo Conselho Federal de Fisioterapia e de Terapia Ocupacional. </w:t>
      </w:r>
    </w:p>
    <w:p w:rsidR="003C4E43" w:rsidRPr="00B97083" w:rsidRDefault="003C4E43" w:rsidP="003C4E43">
      <w:pPr>
        <w:tabs>
          <w:tab w:val="left" w:pos="709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4E43" w:rsidRPr="00B97083" w:rsidRDefault="003C4E43" w:rsidP="003C4E43">
      <w:pPr>
        <w:tabs>
          <w:tab w:val="left" w:pos="709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QUAIS ATOS SÃO PERMITIDOS?</w:t>
      </w:r>
    </w:p>
    <w:p w:rsidR="003C4E43" w:rsidRPr="00B97083" w:rsidRDefault="003C4E43" w:rsidP="003C4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 III – DO RELACIONAMENTO COM O CLIENTE/ PACIENTE/USUÁRIO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Artigo 11 - O fisioterapeuta deve zelar pela provisão e manutenção de adequada assistência ao seu cliente/paciente/usuário, amparados em métodos e técnicas reconhecidos ou regulamentados pelo Conselho Federal de Fisioterapia e de Terapia Ocupacional. 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 V - DAS RESPONSABILIDADES NO EXERCÍCIO DA FISIOTERAPIA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Artigo 30 - É proibido ao fisioterapeuta: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(...)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 – </w:t>
      </w:r>
      <w:r w:rsidR="00B97083"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Utilizar</w:t>
      </w: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equipamentos terapêuticos que não sejam reconhecidos pelo COFFITO de acordo com resolução específica.  </w:t>
      </w:r>
    </w:p>
    <w:p w:rsidR="003C4E43" w:rsidRPr="00B97083" w:rsidRDefault="003C4E43" w:rsidP="003C4E43">
      <w:pPr>
        <w:tabs>
          <w:tab w:val="left" w:pos="709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4E43" w:rsidRPr="00B97083" w:rsidRDefault="003C4E43" w:rsidP="003C4E43">
      <w:pPr>
        <w:tabs>
          <w:tab w:val="left" w:pos="709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QUAIS EQUIPAMENTOS RECONHECIDOS? QUAIS RESOLUÇÕES?</w:t>
      </w:r>
    </w:p>
    <w:p w:rsidR="009156EC" w:rsidRDefault="009156EC" w:rsidP="009156EC">
      <w:pPr>
        <w:tabs>
          <w:tab w:val="left" w:pos="709"/>
          <w:tab w:val="left" w:pos="156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B97083" w:rsidRDefault="009156EC" w:rsidP="0038007B">
      <w:pPr>
        <w:pStyle w:val="PargrafodaLista"/>
        <w:numPr>
          <w:ilvl w:val="0"/>
          <w:numId w:val="1"/>
        </w:numPr>
        <w:tabs>
          <w:tab w:val="left" w:pos="709"/>
          <w:tab w:val="left" w:pos="156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97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Leigos/estagiários: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 V - DAS RESPONSABILIDADES NO EXERCÍCIO DA FISIOTERAPIA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Artigo 30 - É proibido ao fisioterapeuta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XII – sob qualquer forma, a transmissão de conhecimento, ensinar procedimentos próprios da Fisioterapia visando à formação profissional de outrem, que não seja, acadêmico ou profissional de Fisioterapia.</w:t>
      </w:r>
    </w:p>
    <w:p w:rsidR="000000B5" w:rsidRPr="00B97083" w:rsidRDefault="000000B5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 IX – DA DOCÊNCIA, PRECEPTORIA, PESQUISA E PUBLICAÇÃO.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Artigo 41 - No exercício da docência, preceptoria, pesquisa e produção científica, o fisioterapeuta deverá nortear sua prática de ensino, pesquisa e extensão nos princípios deontológicos, éticos e bioéticos da profissão e da vida humana, observando: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(...)</w:t>
      </w:r>
    </w:p>
    <w:p w:rsidR="009156EC" w:rsidRPr="00B97083" w:rsidRDefault="009156EC" w:rsidP="000000B5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0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VIII - a proibição, sob qualquer forma de transmissão de conhecimento, do ensino de procedimentos próprios da Fisioterapia visando a formação profissional de outrem, exceto acadêmicos e profissionais de Fisioterapia;</w:t>
      </w:r>
    </w:p>
    <w:p w:rsidR="0038007B" w:rsidRDefault="0038007B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38007B" w:rsidRDefault="0038007B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38007B" w:rsidRDefault="0038007B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B97083" w:rsidRDefault="00B97083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38007B" w:rsidRDefault="0038007B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38007B" w:rsidRDefault="0038007B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38007B" w:rsidRDefault="0038007B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C60C71" w:rsidRDefault="00C60C71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  <w:r w:rsidRPr="00B97083">
        <w:rPr>
          <w:rFonts w:ascii="Times New Roman" w:hAnsi="Times New Roman" w:cs="Times New Roman"/>
          <w:sz w:val="24"/>
          <w:szCs w:val="24"/>
        </w:rPr>
        <w:lastRenderedPageBreak/>
        <w:t>Publicidade: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60C71" w:rsidTr="00C60C71">
        <w:tc>
          <w:tcPr>
            <w:tcW w:w="4605" w:type="dxa"/>
          </w:tcPr>
          <w:p w:rsidR="00C60C71" w:rsidRDefault="00C60C71" w:rsidP="007848AC">
            <w:pPr>
              <w:tabs>
                <w:tab w:val="left" w:pos="709"/>
                <w:tab w:val="left" w:pos="1560"/>
              </w:tabs>
              <w:spacing w:line="360" w:lineRule="auto"/>
              <w:contextualSpacing/>
              <w:jc w:val="both"/>
            </w:pPr>
            <w:r>
              <w:t>Resolução 8/78:</w:t>
            </w:r>
          </w:p>
        </w:tc>
        <w:tc>
          <w:tcPr>
            <w:tcW w:w="4605" w:type="dxa"/>
          </w:tcPr>
          <w:p w:rsidR="00C60C71" w:rsidRDefault="00C60C71" w:rsidP="007848AC">
            <w:pPr>
              <w:tabs>
                <w:tab w:val="left" w:pos="709"/>
                <w:tab w:val="left" w:pos="1560"/>
              </w:tabs>
              <w:spacing w:line="360" w:lineRule="auto"/>
              <w:contextualSpacing/>
              <w:jc w:val="both"/>
            </w:pPr>
            <w:r>
              <w:t>Resolução 424:</w:t>
            </w:r>
          </w:p>
        </w:tc>
      </w:tr>
      <w:tr w:rsidR="00C60C71" w:rsidTr="00C60C71">
        <w:tc>
          <w:tcPr>
            <w:tcW w:w="4605" w:type="dxa"/>
          </w:tcPr>
          <w:p w:rsidR="00FF0366" w:rsidRDefault="00FF0366" w:rsidP="00C60C71">
            <w:pPr>
              <w:pStyle w:val="Ttulo7"/>
              <w:jc w:val="both"/>
              <w:outlineLvl w:val="6"/>
              <w:rPr>
                <w:rFonts w:ascii="Tahoma" w:hAnsi="Tahoma" w:cs="Tahoma"/>
                <w:b w:val="0"/>
                <w:i/>
                <w:color w:val="000000"/>
                <w:sz w:val="16"/>
              </w:rPr>
            </w:pPr>
          </w:p>
          <w:p w:rsidR="00C60C71" w:rsidRPr="00C60C71" w:rsidRDefault="00C60C71" w:rsidP="00C60C71">
            <w:pPr>
              <w:pStyle w:val="Ttulo7"/>
              <w:jc w:val="both"/>
              <w:outlineLvl w:val="6"/>
              <w:rPr>
                <w:rFonts w:ascii="Tahoma" w:hAnsi="Tahoma" w:cs="Tahoma"/>
                <w:b w:val="0"/>
                <w:i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b w:val="0"/>
                <w:i/>
                <w:color w:val="000000"/>
                <w:sz w:val="16"/>
              </w:rPr>
              <w:t>DA PUBLICIDADE PROFISSIONAL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i/>
                <w:color w:val="000000"/>
                <w:sz w:val="16"/>
              </w:rPr>
            </w:pP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Art. 117.  O anúncio para divulgação profissional do fisioterapeuta e/ou terapeuta ocupacional, </w:t>
            </w:r>
            <w:r w:rsidRPr="00BC2112">
              <w:rPr>
                <w:rFonts w:ascii="Tahoma" w:hAnsi="Tahoma" w:cs="Tahoma"/>
                <w:color w:val="000000"/>
                <w:sz w:val="16"/>
                <w:highlight w:val="yellow"/>
              </w:rPr>
              <w:t>além do disposto no Código de Ética Profissional, está sujeito ainda às seguintes restrições:</w:t>
            </w:r>
          </w:p>
          <w:p w:rsidR="00C60C71" w:rsidRPr="00C60C71" w:rsidRDefault="00271C99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98425</wp:posOffset>
                      </wp:positionV>
                      <wp:extent cx="1844675" cy="699770"/>
                      <wp:effectExtent l="31750" t="55245" r="38100" b="5461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46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BF3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1pt;margin-top:7.75pt;width:145.2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4YOw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="00C60C71" w:rsidRPr="00C60C71">
              <w:rPr>
                <w:rFonts w:ascii="Tahoma" w:hAnsi="Tahoma" w:cs="Tahoma"/>
                <w:color w:val="000000"/>
                <w:sz w:val="16"/>
              </w:rPr>
              <w:t xml:space="preserve">I - </w:t>
            </w:r>
            <w:r w:rsidR="00C60C71" w:rsidRPr="00BC2112">
              <w:rPr>
                <w:rFonts w:ascii="Tahoma" w:hAnsi="Tahoma" w:cs="Tahoma"/>
                <w:color w:val="000000"/>
                <w:sz w:val="16"/>
                <w:highlight w:val="yellow"/>
              </w:rPr>
              <w:t>o texto é limitado à indicação de: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a) nome completo, categoria e número de inscrição do profissional no CREFITO;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b) endereço e telefone; e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c) especialidade exercida, quando for o caso; e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II - </w:t>
            </w:r>
            <w:r w:rsidRPr="00E95F81">
              <w:rPr>
                <w:rFonts w:ascii="Tahoma" w:hAnsi="Tahoma" w:cs="Tahoma"/>
                <w:color w:val="000000"/>
                <w:sz w:val="16"/>
                <w:highlight w:val="yellow"/>
              </w:rPr>
              <w:t>a divulgação em veículo leigo de comunicação é restrita aos indicadores profissionais, quando houver</w:t>
            </w:r>
            <w:r w:rsidRPr="00C60C71">
              <w:rPr>
                <w:rFonts w:ascii="Tahoma" w:hAnsi="Tahoma" w:cs="Tahoma"/>
                <w:color w:val="000000"/>
                <w:sz w:val="16"/>
              </w:rPr>
              <w:t>.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Pr="00C60C71" w:rsidRDefault="00271C99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103505</wp:posOffset>
                      </wp:positionV>
                      <wp:extent cx="2465070" cy="2178685"/>
                      <wp:effectExtent l="48260" t="50800" r="48895" b="469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2178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20DC1" id="AutoShape 2" o:spid="_x0000_s1026" type="#_x0000_t32" style="position:absolute;margin-left:42.4pt;margin-top:8.15pt;width:194.1pt;height:17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="00C60C71" w:rsidRPr="00BC2112">
              <w:rPr>
                <w:rFonts w:ascii="Tahoma" w:hAnsi="Tahoma" w:cs="Tahoma"/>
                <w:color w:val="000000"/>
                <w:sz w:val="16"/>
                <w:highlight w:val="yellow"/>
              </w:rPr>
              <w:t>Art. 118</w:t>
            </w:r>
            <w:r w:rsidR="00C60C71" w:rsidRPr="00C60C71">
              <w:rPr>
                <w:rFonts w:ascii="Tahoma" w:hAnsi="Tahoma" w:cs="Tahoma"/>
                <w:color w:val="000000"/>
                <w:sz w:val="16"/>
              </w:rPr>
              <w:t>.  É vedado ao fisioterapeuta e/ou terapeuta ocupacional: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I </w:t>
            </w:r>
            <w:r w:rsidRPr="00E95F81">
              <w:rPr>
                <w:rFonts w:ascii="Tahoma" w:hAnsi="Tahoma" w:cs="Tahoma"/>
                <w:color w:val="000000"/>
                <w:sz w:val="16"/>
                <w:highlight w:val="yellow"/>
              </w:rPr>
              <w:t>- participar de anúncio misto com profissionais de outras categorias;</w:t>
            </w:r>
          </w:p>
          <w:p w:rsidR="00C60C71" w:rsidRPr="00826327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  <w:highlight w:val="yellow"/>
              </w:rPr>
            </w:pPr>
            <w:r w:rsidRPr="00826327">
              <w:rPr>
                <w:rFonts w:ascii="Tahoma" w:hAnsi="Tahoma" w:cs="Tahoma"/>
                <w:color w:val="000000"/>
                <w:sz w:val="16"/>
                <w:highlight w:val="yellow"/>
              </w:rPr>
              <w:t xml:space="preserve">II - divulgar anúncio por meio de </w:t>
            </w:r>
            <w:r w:rsidRPr="00E95F81">
              <w:rPr>
                <w:rFonts w:ascii="Tahoma" w:hAnsi="Tahoma" w:cs="Tahoma"/>
                <w:b/>
                <w:color w:val="000000"/>
                <w:sz w:val="16"/>
                <w:highlight w:val="cyan"/>
              </w:rPr>
              <w:t>volantes</w:t>
            </w:r>
            <w:r w:rsidRPr="00826327">
              <w:rPr>
                <w:rFonts w:ascii="Tahoma" w:hAnsi="Tahoma" w:cs="Tahoma"/>
                <w:color w:val="000000"/>
                <w:sz w:val="16"/>
                <w:highlight w:val="yellow"/>
              </w:rPr>
              <w:t>;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826327">
              <w:rPr>
                <w:rFonts w:ascii="Tahoma" w:hAnsi="Tahoma" w:cs="Tahoma"/>
                <w:color w:val="000000"/>
                <w:sz w:val="16"/>
                <w:highlight w:val="yellow"/>
              </w:rPr>
              <w:t>III - usar impresso particular de receituário ou cartão social que contenha outras informações além das previstas no inciso I do art. 117.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Art. 119.  No impresso de receituário de instituição em que trabalhar, ou outro qualquer em que fizer prescrição para cliente, o fisioterapeuta e/ou terapeuta ocupacional consignará, obrigatoriamente, imediatamente abaixo de sua assinatura, em carimbo ou manuscrito, o nome completo e o número de inscrição no CREFITO, de conformidade com o que dispõe o art. 54.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Art. 120.  O fisioterapeuta e/ou terapeuta ocupacional poderá afixar apenas uma placa externa em seu consultório e/ou residência, permitido o uso de luz contínua, quando for o caso.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Art. 121.  É vedado o uso, em placas, letreiros, impressos e anúncios, de símbolo, logotipo, fotografia, desenho ou expressão vulgar ou aviltante, que possa comprometer o prestígio e o conceito das profissões de fisioterapeuta e  de terapeuta ocupacional, bem como dos que as exercem.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Pr="00C60C71" w:rsidRDefault="00C60C71" w:rsidP="00C60C71">
            <w:pPr>
              <w:pStyle w:val="Corpodetexto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Art. 122.  Em artigos, entrevistas e outros pronunciamentos públicos o fisioterapeuta e/ou terapeuta ocupacional responderá perante o CREFITO pela impropriedade técnica ou transgressão às leis e normas regulamentares do exercício profissional que cometer.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Parágrafo Único - A aprovação prévia, pela Comissão de Ética do CREFITO, do pronunciamento libera o profissional de qualquer responsabilidade, desde que respeitado o texto aprovado pela mesma.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Art. 123.  Na organização de encontros, jornadas, congressos e outros eventos congêneres, o fisioterapeuta e/ou terapeuta ocupacional adotará, obrigatoriamente, as medidas cautelares para preservação do conceito das respectivas profissões e do prestígio das entidades representativas das classes.</w:t>
            </w:r>
          </w:p>
          <w:p w:rsidR="00C60C71" w:rsidRDefault="00C60C71" w:rsidP="007848AC">
            <w:pPr>
              <w:tabs>
                <w:tab w:val="left" w:pos="709"/>
                <w:tab w:val="left" w:pos="1560"/>
              </w:tabs>
              <w:spacing w:line="360" w:lineRule="auto"/>
              <w:contextualSpacing/>
              <w:jc w:val="both"/>
            </w:pPr>
          </w:p>
        </w:tc>
        <w:tc>
          <w:tcPr>
            <w:tcW w:w="4605" w:type="dxa"/>
          </w:tcPr>
          <w:p w:rsid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CAPÍTULO X – DA DIVULGAÇÃO PROFISSIONAL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Artigo 46 - Ao promover publicamente os seus serviços, em qualquer meio de comunicação, o fisioterapeuta deve fazê-lo com exatidão e dignidade, observando os preceitos deste Código, bem como as normas do Conselho Federal de Fisioterapia e de Terapia Ocupacional.  </w:t>
            </w:r>
          </w:p>
          <w:p w:rsidR="00BC2112" w:rsidRPr="00C60C71" w:rsidRDefault="00BC2112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Artigo 47 - A utilização da Rede Mundial de Computadores (Internet) para fins profissionais deve seguir os preceitos deste Código e demais normatizações pertinentes.</w:t>
            </w:r>
          </w:p>
          <w:p w:rsidR="00BC2112" w:rsidRPr="00C60C71" w:rsidRDefault="00BC2112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BC2112">
              <w:rPr>
                <w:rFonts w:ascii="Tahoma" w:hAnsi="Tahoma" w:cs="Tahoma"/>
                <w:color w:val="000000"/>
                <w:sz w:val="16"/>
                <w:highlight w:val="yellow"/>
              </w:rPr>
              <w:t>Artigo 48</w:t>
            </w: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 - Nos anúncios, placas e impressos, bem como divulgação em meio eletrônico, devem constar o nome do profissional, da profissão e o número de inscrição no Conselho Regional, podendo ainda consignar: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I – os títulos de especialidade profissional que possua e que sejam reconhecidas pelo Conselho Federal de Fisioterapia e de Terapia Ocupacional para os quais o fisioterapeuta esteja habilitado; 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II – título de formação acadêmica strictu sensu. 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III - o endereço, telefone, endereço eletrônico, horário de trabalho, convênios e credenciamentos;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IV - instalações, equipamentos e métodos de tratamento, respeitando legislação vigente e resolução específica;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V - logomarca, logotipo ou heráldicos determinados pelo Conselho Federal de Fisioterapia e de Terapia Ocupacional;</w:t>
            </w: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VI – logomarca, logotipo ou símbolos de entidades, empresas, sociedades, associações ou federações às quais o fisioterapeuta esteja legalmente vinculado;</w:t>
            </w:r>
          </w:p>
          <w:p w:rsid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VII – logomarca ou logotipo próprio condizentes com a dignidade profissional. </w:t>
            </w:r>
          </w:p>
          <w:p w:rsidR="00BC2112" w:rsidRPr="00C60C71" w:rsidRDefault="00BC2112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 </w:t>
            </w:r>
            <w:r w:rsidRPr="00BC2112">
              <w:rPr>
                <w:rFonts w:ascii="Tahoma" w:hAnsi="Tahoma" w:cs="Tahoma"/>
                <w:color w:val="000000"/>
                <w:sz w:val="16"/>
                <w:highlight w:val="yellow"/>
              </w:rPr>
              <w:t>Artigo 49</w:t>
            </w: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 - É permitido ao fisioterapeuta que atua em serviço multiprofissional divulgar sua atividade profissional em </w:t>
            </w:r>
            <w:r w:rsidRPr="00003BBB">
              <w:rPr>
                <w:rFonts w:ascii="Tahoma" w:hAnsi="Tahoma" w:cs="Tahoma"/>
                <w:color w:val="000000"/>
                <w:sz w:val="16"/>
                <w:highlight w:val="yellow"/>
              </w:rPr>
              <w:t>anúncio coletivo,</w:t>
            </w: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 observando os preceitos deste código e a dignidade da profissão.  </w:t>
            </w:r>
          </w:p>
          <w:p w:rsidR="00BC2112" w:rsidRPr="00C60C71" w:rsidRDefault="00BC2112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Artigo 50 - Quando o fisioterapeuta, em serviço ou consultório próprio, utilizar nome-fantasia, sua divulgação deverá respeitar o preceituado neste código e a dignidade da profissão.</w:t>
            </w:r>
          </w:p>
          <w:p w:rsidR="00BC2112" w:rsidRPr="00C60C71" w:rsidRDefault="00BC2112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>Artigo 51 - Na divulgação em meio eletrônico de textos, imagens e vídeos com orientações para cliente/paciente/usuário e coletividade, o fisioterapeuta deverá observar o preceituado neste Código.</w:t>
            </w:r>
          </w:p>
          <w:p w:rsidR="00BC2112" w:rsidRPr="00C60C71" w:rsidRDefault="00BC2112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</w:p>
          <w:p w:rsidR="00C60C71" w:rsidRPr="00C60C71" w:rsidRDefault="00C60C71" w:rsidP="00C60C71">
            <w:pPr>
              <w:jc w:val="both"/>
              <w:rPr>
                <w:rFonts w:ascii="Tahoma" w:hAnsi="Tahoma" w:cs="Tahoma"/>
                <w:color w:val="000000"/>
                <w:sz w:val="16"/>
              </w:rPr>
            </w:pPr>
            <w:r w:rsidRPr="00C60C71">
              <w:rPr>
                <w:rFonts w:ascii="Tahoma" w:hAnsi="Tahoma" w:cs="Tahoma"/>
                <w:color w:val="000000"/>
                <w:sz w:val="16"/>
              </w:rPr>
              <w:t xml:space="preserve">Artigo 52 - Em artigos, entrevistas e outros pronunciamentos públicos, em qualquer meio de comunicação, o fisioterapeuta responderá perante o Conselho Regional e Federal de Fisioterapia e de Terapia Ocupacional pela impropriedade técnica ou transgressão às leis e normas regulamentares do exercício profissional. </w:t>
            </w:r>
          </w:p>
          <w:p w:rsidR="00C60C71" w:rsidRDefault="00C60C71" w:rsidP="007848AC">
            <w:pPr>
              <w:tabs>
                <w:tab w:val="left" w:pos="709"/>
                <w:tab w:val="left" w:pos="1560"/>
              </w:tabs>
              <w:spacing w:line="360" w:lineRule="auto"/>
              <w:contextualSpacing/>
              <w:jc w:val="both"/>
            </w:pPr>
          </w:p>
        </w:tc>
      </w:tr>
    </w:tbl>
    <w:p w:rsidR="00C60C71" w:rsidRDefault="00C60C71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p w:rsidR="00FF0366" w:rsidRDefault="00FF0366" w:rsidP="00FF0366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</w:p>
    <w:p w:rsidR="0038007B" w:rsidRDefault="0038007B" w:rsidP="00FF0366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</w:p>
    <w:p w:rsidR="00FF0366" w:rsidRPr="00BB1C88" w:rsidRDefault="00FF0366" w:rsidP="00BB1C88">
      <w:pPr>
        <w:tabs>
          <w:tab w:val="left" w:pos="709"/>
          <w:tab w:val="left" w:pos="15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B1C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Resolução 8:</w:t>
      </w:r>
    </w:p>
    <w:p w:rsidR="00FF0366" w:rsidRPr="00BB1C88" w:rsidRDefault="00FF0366" w:rsidP="00FF0366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54.  É obrigatório o uso do número de inscrição pelo fisioterapeuta e/ou terapeuta ocupacional, nos seguintes casos:</w:t>
      </w:r>
    </w:p>
    <w:p w:rsidR="00FF0366" w:rsidRPr="00BB1C88" w:rsidRDefault="00FF0366" w:rsidP="00FF0366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 - </w:t>
      </w:r>
      <w:r w:rsidR="00BB1C88"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carimbo, datilografado, impresso ou manuscrito, imediatamente abaixo de assinatura, em todo documento firmado em razão do exercício profissional; e</w:t>
      </w:r>
    </w:p>
    <w:p w:rsidR="00FF0366" w:rsidRPr="00BB1C88" w:rsidRDefault="00FF0366" w:rsidP="00FF0366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- </w:t>
      </w:r>
      <w:r w:rsidR="00BB1C88"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impresso, anúncios e placas ligados ao exercício profissional.</w:t>
      </w:r>
    </w:p>
    <w:p w:rsidR="00FF0366" w:rsidRDefault="00FF0366" w:rsidP="00FF0366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Parágrafo único - São excluídos da obrigatoriedade estabelecida no inciso I deste artigo, os atos e a correspondência firmados pelos membros dos Conselhos Federal e Regionais, no exercício das atribuições inerentes aos respectivos mandatos.</w:t>
      </w:r>
    </w:p>
    <w:p w:rsidR="00BB1C88" w:rsidRDefault="00BB1C88" w:rsidP="00FF0366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B1C88" w:rsidRPr="00BB1C88" w:rsidRDefault="00BB1C88" w:rsidP="00FF0366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C2112" w:rsidRPr="00BB1C88" w:rsidRDefault="00BC2112" w:rsidP="003C4E43">
      <w:pPr>
        <w:tabs>
          <w:tab w:val="left" w:pos="284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BC2112" w:rsidRPr="00BB1C88" w:rsidRDefault="00BC2112" w:rsidP="00BB1C88">
      <w:pPr>
        <w:tabs>
          <w:tab w:val="left" w:pos="709"/>
          <w:tab w:val="left" w:pos="15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B1C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Resolução 37:</w:t>
      </w:r>
    </w:p>
    <w:p w:rsidR="00BC2112" w:rsidRPr="00BB1C88" w:rsidRDefault="00BC2112" w:rsidP="00E96A89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CAPÍTULO IV</w:t>
      </w:r>
    </w:p>
    <w:p w:rsidR="00BC2112" w:rsidRPr="00BB1C88" w:rsidRDefault="00BC2112" w:rsidP="00E96A89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 w:rsidR="003C4E43"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PUBLICIDADE</w:t>
      </w:r>
    </w:p>
    <w:p w:rsidR="00BC2112" w:rsidRPr="00BB1C88" w:rsidRDefault="00BC2112" w:rsidP="00E96A89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28.  É obrigatório a menção expressa do número de registro da empresa no CREFITO em anúncio ou propaganda próprios ou de órgão a ela subordinada.</w:t>
      </w:r>
    </w:p>
    <w:p w:rsidR="00BC2112" w:rsidRPr="00BB1C88" w:rsidRDefault="00BC2112" w:rsidP="00E96A89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Parágrafo Único - a desobediência ao estabelecido neste artigo sujeita o infrator à </w:t>
      </w:r>
      <w:r w:rsidRPr="00BB1C8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multa no valor de 50 (cinqüenta por cento) do MVR,</w:t>
      </w: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cominada em dobro no caso de reincidência, independentemente de outras sanções cabíveis, quando for o caso.</w:t>
      </w:r>
    </w:p>
    <w:p w:rsidR="00BC2112" w:rsidRPr="00BB1C88" w:rsidRDefault="00BC2112" w:rsidP="00E96A89">
      <w:pPr>
        <w:tabs>
          <w:tab w:val="left" w:pos="709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29.  É vedado</w:t>
      </w:r>
      <w:r w:rsidR="00C6038B"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B1C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uso, em placas, letreiros, impressos e anúncios, de símbolo, logotipo, fotografia e o conceito das profissões de fisioterapeuta e de terapeuta ocupacional, bem como dos que as exerçam.</w:t>
      </w:r>
    </w:p>
    <w:p w:rsidR="00BC2112" w:rsidRPr="003C4E43" w:rsidRDefault="00BC2112" w:rsidP="00BC2112">
      <w:pPr>
        <w:tabs>
          <w:tab w:val="left" w:pos="709"/>
          <w:tab w:val="left" w:pos="1560"/>
        </w:tabs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BC2112" w:rsidRPr="007848AC" w:rsidRDefault="00BC2112" w:rsidP="007848AC">
      <w:pPr>
        <w:tabs>
          <w:tab w:val="left" w:pos="709"/>
          <w:tab w:val="left" w:pos="1560"/>
        </w:tabs>
        <w:spacing w:after="0" w:line="360" w:lineRule="auto"/>
        <w:contextualSpacing/>
        <w:jc w:val="both"/>
      </w:pPr>
    </w:p>
    <w:sectPr w:rsidR="00BC2112" w:rsidRPr="007848AC" w:rsidSect="007848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gnet Roundhand">
    <w:altName w:val="Mistral"/>
    <w:charset w:val="00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1582C"/>
    <w:multiLevelType w:val="hybridMultilevel"/>
    <w:tmpl w:val="6E4826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AC"/>
    <w:rsid w:val="000000B5"/>
    <w:rsid w:val="00003BBB"/>
    <w:rsid w:val="00183F9E"/>
    <w:rsid w:val="00271C99"/>
    <w:rsid w:val="0038007B"/>
    <w:rsid w:val="003C4E43"/>
    <w:rsid w:val="00450D85"/>
    <w:rsid w:val="004F7E82"/>
    <w:rsid w:val="005006F7"/>
    <w:rsid w:val="0056350B"/>
    <w:rsid w:val="007848AC"/>
    <w:rsid w:val="00826327"/>
    <w:rsid w:val="009156EC"/>
    <w:rsid w:val="00B52018"/>
    <w:rsid w:val="00B97083"/>
    <w:rsid w:val="00BB1C88"/>
    <w:rsid w:val="00BC2112"/>
    <w:rsid w:val="00C6038B"/>
    <w:rsid w:val="00C60C71"/>
    <w:rsid w:val="00D36D44"/>
    <w:rsid w:val="00E95F81"/>
    <w:rsid w:val="00E96A89"/>
    <w:rsid w:val="00F1221A"/>
    <w:rsid w:val="00FD579F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D005"/>
  <w15:docId w15:val="{63A06909-8822-437A-AAFD-1DFAC838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8AC"/>
  </w:style>
  <w:style w:type="paragraph" w:styleId="Ttulo7">
    <w:name w:val="heading 7"/>
    <w:basedOn w:val="Normal"/>
    <w:next w:val="Normal"/>
    <w:link w:val="Ttulo7Char"/>
    <w:qFormat/>
    <w:rsid w:val="00C60C71"/>
    <w:pPr>
      <w:keepNext/>
      <w:spacing w:after="0" w:line="240" w:lineRule="auto"/>
      <w:jc w:val="center"/>
      <w:outlineLvl w:val="6"/>
    </w:pPr>
    <w:rPr>
      <w:rFonts w:ascii="Arial Narrow" w:eastAsia="Times New Roman" w:hAnsi="Arial Narrow" w:cs="Times New Roman"/>
      <w:b/>
      <w:color w:val="008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0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7Char">
    <w:name w:val="Título 7 Char"/>
    <w:basedOn w:val="Fontepargpadro"/>
    <w:link w:val="Ttulo7"/>
    <w:rsid w:val="00C60C71"/>
    <w:rPr>
      <w:rFonts w:ascii="Arial Narrow" w:eastAsia="Times New Roman" w:hAnsi="Arial Narrow" w:cs="Times New Roman"/>
      <w:b/>
      <w:color w:val="008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60C71"/>
    <w:pPr>
      <w:spacing w:after="0" w:line="240" w:lineRule="auto"/>
      <w:jc w:val="both"/>
    </w:pPr>
    <w:rPr>
      <w:rFonts w:ascii="Signet Roundhand" w:eastAsia="Times New Roman" w:hAnsi="Signet Roundhand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60C71"/>
    <w:rPr>
      <w:rFonts w:ascii="Signet Roundhand" w:eastAsia="Times New Roman" w:hAnsi="Signet Roundhand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DEFIS</dc:creator>
  <cp:lastModifiedBy>Pamela Guimaraes</cp:lastModifiedBy>
  <cp:revision>2</cp:revision>
  <cp:lastPrinted>2018-08-20T18:01:00Z</cp:lastPrinted>
  <dcterms:created xsi:type="dcterms:W3CDTF">2018-08-28T18:38:00Z</dcterms:created>
  <dcterms:modified xsi:type="dcterms:W3CDTF">2018-08-28T18:38:00Z</dcterms:modified>
</cp:coreProperties>
</file>